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D2C2" w14:textId="0E6148F4" w:rsidR="008A71FD" w:rsidRPr="00573908" w:rsidRDefault="00573908" w:rsidP="004C1D4D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73908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0304118B" w14:textId="77777777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29 </w:t>
      </w:r>
    </w:p>
    <w:p w14:paraId="4E21A490" w14:textId="77777777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89D286E" w14:textId="2C695257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del bilancio, preventivo e consuntivo,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Piano degli indicatori e risultati attesi di bilancio, </w:t>
      </w:r>
      <w:proofErr w:type="spellStart"/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dei dati concernenti il monitoraggio degli obiettivi. </w:t>
      </w:r>
    </w:p>
    <w:p w14:paraId="0024DB7B" w14:textId="77777777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AA43874" w14:textId="7C4533FA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</w:t>
      </w:r>
      <w:r w:rsidRPr="005739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(Fermo restando quanto previsto dall'articolo 9-bis, le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pubbliche amministrazioni))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pubblicano i documenti e gli allegati del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bilancio preventivo e del conto consuntivo entro trenta giorni dalla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loro adozione, </w:t>
      </w:r>
      <w:proofErr w:type="spellStart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i dati relativi al bilancio di previsione e a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quello consuntivo in forma sintetica, aggregata e semplificata, anche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 il ricorso a rappresentazioni grafiche, al fine di assicurare la</w:t>
      </w:r>
      <w:r w:rsidRPr="00F060FB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piena </w:t>
      </w:r>
      <w:proofErr w:type="spellStart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accessibilita'</w:t>
      </w:r>
      <w:proofErr w:type="spellEnd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e </w:t>
      </w:r>
      <w:proofErr w:type="spellStart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comprensibilita'</w:t>
      </w:r>
      <w:proofErr w:type="spellEnd"/>
      <w:r w:rsidRPr="00573908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481DA4E" w14:textId="2E6C9BF7" w:rsidR="00573908" w:rsidRP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1-bis.  Le   pubbliche   amministrazioni   pubblicano   e   rendono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accessibili, anche attraverso il ricorso ad un portale unico, i  dati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relativi  alle  entrate  e  alla  spesa  di  cui  ai  propri  bilanci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preventivi e consuntivi in formato tabellare aperto che  ne  consenta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l'esportazione,  il   trattamento   e   il   riutilizzo,   ai   sensi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dell'articolo 7, secondo uno schema tipo  e  </w:t>
      </w:r>
      <w:proofErr w:type="spellStart"/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definiti  con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del Presidente del Consiglio dei ministri da adottare sentita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la Conferenza unificata. </w:t>
      </w:r>
    </w:p>
    <w:p w14:paraId="5299AE7D" w14:textId="34ECA764" w:rsid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 Le pubbliche amministrazioni pubblicano il Piano di   cui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all'articolo 19 del decreto legislativo 31 maggio 2011, n. 91, con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integrazioni e gli aggiornamenti di cui all'articolo 22 del medesimo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573908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decreto legislativo n. 91 del 2011. </w:t>
      </w:r>
    </w:p>
    <w:p w14:paraId="2934E1D3" w14:textId="6CC81917" w:rsid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75F3C519" w14:textId="77777777" w:rsidR="00573908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53778575" w14:textId="48E0DFBA" w:rsidR="00573908" w:rsidRPr="004C1D4D" w:rsidRDefault="00573908" w:rsidP="004C1D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4C1D4D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 Lgs. 175/2016</w:t>
      </w:r>
    </w:p>
    <w:p w14:paraId="59FDBCB3" w14:textId="77777777" w:rsidR="00573908" w:rsidRPr="004C1D4D" w:rsidRDefault="00573908" w:rsidP="004C1D4D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4C1D4D">
        <w:rPr>
          <w:b/>
          <w:bCs/>
          <w:color w:val="19191A"/>
          <w:sz w:val="24"/>
          <w:szCs w:val="24"/>
        </w:rPr>
        <w:t xml:space="preserve">Art. 6 </w:t>
      </w:r>
    </w:p>
    <w:p w14:paraId="763D0F58" w14:textId="77777777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1F828786" w14:textId="77777777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2C394482" w14:textId="61B70929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Principi fondamentali sull'organizzazione e sulla gestione delle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pubblico. </w:t>
      </w:r>
    </w:p>
    <w:p w14:paraId="2C060492" w14:textId="77777777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3AF7AF0" w14:textId="725D3888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pubblico, che svolgano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economiche protette da diritti speciali o esclusivi, insieme con altre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svolte in regime di economia di mercato, in deroga all'obbligo di separazione societaria previsto dal comma 2-bis dell'articolo 8 della legge 10 ottobre 1990, n. 287, adottano sistemi di </w:t>
      </w:r>
      <w:proofErr w:type="spellStart"/>
      <w:r>
        <w:rPr>
          <w:color w:val="19191A"/>
          <w:sz w:val="24"/>
          <w:szCs w:val="24"/>
        </w:rPr>
        <w:t>contabilita'</w:t>
      </w:r>
      <w:proofErr w:type="spellEnd"/>
      <w:r>
        <w:rPr>
          <w:color w:val="19191A"/>
          <w:sz w:val="24"/>
          <w:szCs w:val="24"/>
        </w:rPr>
        <w:t xml:space="preserve"> separata per 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oggetto di diritti speciali o esclusivi e per ciascuna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. </w:t>
      </w:r>
    </w:p>
    <w:p w14:paraId="506F96D8" w14:textId="1065EC74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 predispongono   specifici programmi di valutazione del rischio di crisi aziendale e ne informano l'assemblea nell'ambito della relazione di cui al comma 4. </w:t>
      </w:r>
    </w:p>
    <w:p w14:paraId="65049D01" w14:textId="2C930363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Fatte salve le funzioni degli organi di controllo previsti a norma di legge e di statuto,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 valutano </w:t>
      </w:r>
      <w:proofErr w:type="spellStart"/>
      <w:r>
        <w:rPr>
          <w:color w:val="19191A"/>
          <w:sz w:val="24"/>
          <w:szCs w:val="24"/>
        </w:rPr>
        <w:t>l'opportunita'</w:t>
      </w:r>
      <w:proofErr w:type="spellEnd"/>
      <w:r>
        <w:rPr>
          <w:color w:val="19191A"/>
          <w:sz w:val="24"/>
          <w:szCs w:val="24"/>
        </w:rPr>
        <w:t xml:space="preserve"> di integrare, in   </w:t>
      </w:r>
      <w:proofErr w:type="spellStart"/>
      <w:r>
        <w:rPr>
          <w:color w:val="19191A"/>
          <w:sz w:val="24"/>
          <w:szCs w:val="24"/>
        </w:rPr>
        <w:t>cnsiderazione</w:t>
      </w:r>
      <w:proofErr w:type="spellEnd"/>
      <w:r>
        <w:rPr>
          <w:color w:val="19191A"/>
          <w:sz w:val="24"/>
          <w:szCs w:val="24"/>
        </w:rPr>
        <w:t xml:space="preserve">   delle dimensioni   e   delle    caratteristiche    organizzative  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</w:t>
      </w:r>
      <w:proofErr w:type="spellStart"/>
      <w:r>
        <w:rPr>
          <w:color w:val="19191A"/>
          <w:sz w:val="24"/>
          <w:szCs w:val="24"/>
        </w:rPr>
        <w:lastRenderedPageBreak/>
        <w:t>dell'attivita'</w:t>
      </w:r>
      <w:proofErr w:type="spellEnd"/>
      <w:r>
        <w:rPr>
          <w:color w:val="19191A"/>
          <w:sz w:val="24"/>
          <w:szCs w:val="24"/>
        </w:rPr>
        <w:t xml:space="preserve"> svolta, gli strumenti di governo societario con i seguenti: </w:t>
      </w:r>
    </w:p>
    <w:p w14:paraId="6D46264C" w14:textId="41549D3B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a)  regolamenti interni   volti   a   garantire   la   </w:t>
      </w:r>
      <w:proofErr w:type="spellStart"/>
      <w:r>
        <w:rPr>
          <w:color w:val="19191A"/>
          <w:sz w:val="24"/>
          <w:szCs w:val="24"/>
        </w:rPr>
        <w:t>conformita'</w:t>
      </w:r>
      <w:proofErr w:type="spellEnd"/>
      <w:r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dell'attivita'</w:t>
      </w:r>
      <w:proofErr w:type="spellEnd"/>
      <w:r>
        <w:rPr>
          <w:color w:val="19191A"/>
          <w:sz w:val="24"/>
          <w:szCs w:val="24"/>
        </w:rPr>
        <w:t xml:space="preserve"> della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alle norme di tutela della concorrenza, comprese quelle in materia di concorrenza sleale,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alle norme di tutela della </w:t>
      </w:r>
      <w:proofErr w:type="spellStart"/>
      <w:r>
        <w:rPr>
          <w:color w:val="19191A"/>
          <w:sz w:val="24"/>
          <w:szCs w:val="24"/>
        </w:rPr>
        <w:t>proprieta'</w:t>
      </w:r>
      <w:proofErr w:type="spellEnd"/>
      <w:r>
        <w:rPr>
          <w:color w:val="19191A"/>
          <w:sz w:val="24"/>
          <w:szCs w:val="24"/>
        </w:rPr>
        <w:t xml:space="preserve"> industriale o intellettuale; </w:t>
      </w:r>
    </w:p>
    <w:p w14:paraId="272DBC6D" w14:textId="252968A2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b) un ufficio di controllo interno strutturato secondo criteri di adeguatezza rispetto alla dimensione e alla </w:t>
      </w:r>
      <w:proofErr w:type="spellStart"/>
      <w:r>
        <w:rPr>
          <w:color w:val="19191A"/>
          <w:sz w:val="24"/>
          <w:szCs w:val="24"/>
        </w:rPr>
        <w:t>complessita'</w:t>
      </w:r>
      <w:proofErr w:type="spellEnd"/>
      <w:r>
        <w:rPr>
          <w:color w:val="19191A"/>
          <w:sz w:val="24"/>
          <w:szCs w:val="24"/>
        </w:rPr>
        <w:t xml:space="preserve"> dell'impresa sociale, che collabora con l'organo di   controllo   statutario, riscontrando tempestivamente le richieste da questo provenienti, e</w:t>
      </w:r>
      <w:r w:rsidR="004C1D4D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trasmette periodicamente all'organo di controllo statutario relazioni sulla </w:t>
      </w:r>
      <w:proofErr w:type="spellStart"/>
      <w:r>
        <w:rPr>
          <w:color w:val="19191A"/>
          <w:sz w:val="24"/>
          <w:szCs w:val="24"/>
        </w:rPr>
        <w:t>regolarita'</w:t>
      </w:r>
      <w:proofErr w:type="spellEnd"/>
      <w:r>
        <w:rPr>
          <w:color w:val="19191A"/>
          <w:sz w:val="24"/>
          <w:szCs w:val="24"/>
        </w:rPr>
        <w:t xml:space="preserve"> e l'efficienza della gestione; </w:t>
      </w:r>
    </w:p>
    <w:p w14:paraId="091A5D3C" w14:textId="4ACAC2F5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c) codici di condotta propri, o adesione a codici di condotta collettivi aventi a oggetto la   disciplina   dei   comportamenti imprenditoriali nei confronti di consumatori, utenti, dipendenti e collaboratori,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 xml:space="preserve">' altri portatori di   legittimi   interessi coinvolti </w:t>
      </w:r>
      <w:proofErr w:type="spellStart"/>
      <w:r>
        <w:rPr>
          <w:color w:val="19191A"/>
          <w:sz w:val="24"/>
          <w:szCs w:val="24"/>
        </w:rPr>
        <w:t>nell'attivita'</w:t>
      </w:r>
      <w:proofErr w:type="spellEnd"/>
      <w:r>
        <w:rPr>
          <w:color w:val="19191A"/>
          <w:sz w:val="24"/>
          <w:szCs w:val="24"/>
        </w:rPr>
        <w:t xml:space="preserve"> della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; </w:t>
      </w:r>
    </w:p>
    <w:p w14:paraId="27B7B6D5" w14:textId="015F421C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d) programmi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sociale d'impresa, in </w:t>
      </w:r>
      <w:proofErr w:type="spellStart"/>
      <w:r>
        <w:rPr>
          <w:color w:val="19191A"/>
          <w:sz w:val="24"/>
          <w:szCs w:val="24"/>
        </w:rPr>
        <w:t>conformita'</w:t>
      </w:r>
      <w:proofErr w:type="spellEnd"/>
      <w:r>
        <w:rPr>
          <w:color w:val="19191A"/>
          <w:sz w:val="24"/>
          <w:szCs w:val="24"/>
        </w:rPr>
        <w:t xml:space="preserve"> alle raccomandazioni della Commissione dell'Unione europea. </w:t>
      </w:r>
    </w:p>
    <w:p w14:paraId="3F3BA787" w14:textId="77A5C2B3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F060FB">
        <w:rPr>
          <w:color w:val="19191A"/>
          <w:sz w:val="24"/>
          <w:szCs w:val="24"/>
          <w:highlight w:val="yellow"/>
        </w:rPr>
        <w:t xml:space="preserve">4. Gli strumenti eventualmente adottati ai sensi del comma 3 sono indicati nella relazione sul governo societario che le </w:t>
      </w:r>
      <w:proofErr w:type="spellStart"/>
      <w:r w:rsidRPr="00F060FB">
        <w:rPr>
          <w:color w:val="19191A"/>
          <w:sz w:val="24"/>
          <w:szCs w:val="24"/>
          <w:highlight w:val="yellow"/>
        </w:rPr>
        <w:t>societa'</w:t>
      </w:r>
      <w:proofErr w:type="spellEnd"/>
      <w:r w:rsidRPr="00F060FB">
        <w:rPr>
          <w:color w:val="19191A"/>
          <w:sz w:val="24"/>
          <w:szCs w:val="24"/>
          <w:highlight w:val="yellow"/>
        </w:rPr>
        <w:t xml:space="preserve"> controllate predispongono annualmente, a chiusura dell'esercizio sociale e pubblicano contestualmente al bilancio d'</w:t>
      </w:r>
      <w:proofErr w:type="spellStart"/>
      <w:r w:rsidRPr="00F060FB">
        <w:rPr>
          <w:color w:val="19191A"/>
          <w:sz w:val="24"/>
          <w:szCs w:val="24"/>
          <w:highlight w:val="yellow"/>
        </w:rPr>
        <w:t>eercizio</w:t>
      </w:r>
      <w:proofErr w:type="spellEnd"/>
      <w:r w:rsidRPr="00F060FB">
        <w:rPr>
          <w:color w:val="19191A"/>
          <w:sz w:val="24"/>
          <w:szCs w:val="24"/>
          <w:highlight w:val="yellow"/>
        </w:rPr>
        <w:t>.</w:t>
      </w:r>
      <w:r>
        <w:rPr>
          <w:color w:val="19191A"/>
          <w:sz w:val="24"/>
          <w:szCs w:val="24"/>
        </w:rPr>
        <w:t xml:space="preserve"> </w:t>
      </w:r>
    </w:p>
    <w:p w14:paraId="1745C059" w14:textId="27529767" w:rsidR="00573908" w:rsidRDefault="00573908" w:rsidP="004C1D4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Qualora le </w:t>
      </w:r>
      <w:proofErr w:type="spellStart"/>
      <w:r>
        <w:rPr>
          <w:color w:val="19191A"/>
          <w:sz w:val="24"/>
          <w:szCs w:val="24"/>
        </w:rPr>
        <w:t>societa'</w:t>
      </w:r>
      <w:proofErr w:type="spellEnd"/>
      <w:r>
        <w:rPr>
          <w:color w:val="19191A"/>
          <w:sz w:val="24"/>
          <w:szCs w:val="24"/>
        </w:rPr>
        <w:t xml:space="preserve"> a controllo pubblico non integrino gli strumenti di governo societario con quelli di cui al comma 3, danno conto delle ragioni all'interno della relazione di cui al comma 4. </w:t>
      </w:r>
    </w:p>
    <w:p w14:paraId="69F0C922" w14:textId="178E5E42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Note all'art. 6: </w:t>
      </w:r>
    </w:p>
    <w:p w14:paraId="04D81A64" w14:textId="29D929E4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- Si riporta il testo dell'art. 8 della citata legge 10 ottobre 1990, n. 287: </w:t>
      </w:r>
    </w:p>
    <w:p w14:paraId="002243E8" w14:textId="6B33315A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«Art. 8 (Imprese pubbliche e in monopolio legale). – </w:t>
      </w:r>
    </w:p>
    <w:p w14:paraId="4CD3C75F" w14:textId="5F2E03AD" w:rsidR="00573908" w:rsidRDefault="00BD1829" w:rsidP="004C1D4D">
      <w:pPr>
        <w:pStyle w:val="PreformattatoHTML"/>
        <w:numPr>
          <w:ilvl w:val="0"/>
          <w:numId w:val="1"/>
        </w:numPr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</w:t>
      </w:r>
      <w:r w:rsidR="00573908">
        <w:rPr>
          <w:color w:val="990000"/>
          <w:sz w:val="24"/>
          <w:szCs w:val="24"/>
        </w:rPr>
        <w:t>Le disposizioni contenute nei precedenti articoli   si</w:t>
      </w:r>
    </w:p>
    <w:p w14:paraId="2124EBD0" w14:textId="714C340D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applicano sia alle imprese private che a quelle pubbliche o a prevalente partecipazione statale. </w:t>
      </w:r>
    </w:p>
    <w:p w14:paraId="20775C03" w14:textId="1E743D35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 2. Le disposizioni di cui ai precedenti articoli non si</w:t>
      </w:r>
    </w:p>
    <w:p w14:paraId="51E446D7" w14:textId="5656850E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applicano alle imprese che, per disposizioni di legge, esercitano la gestione di servizi di interesse economico</w:t>
      </w:r>
      <w:r w:rsidR="004C1D4D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generale ovvero operano in regime di monopolio sul mercato,</w:t>
      </w:r>
      <w:r w:rsidR="004C1D4D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per tutto quanto strettamente connesso all'adempimento</w:t>
      </w:r>
      <w:r w:rsidR="004C1D4D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degli specifici compiti loro affidati. </w:t>
      </w:r>
    </w:p>
    <w:p w14:paraId="3D7E7501" w14:textId="503B47BF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 2-bis. Le imprese di cui al comma 2, qualora intendano</w:t>
      </w:r>
    </w:p>
    <w:p w14:paraId="488B0DB9" w14:textId="1F59DC39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svolgere </w:t>
      </w:r>
      <w:proofErr w:type="spellStart"/>
      <w:r>
        <w:rPr>
          <w:color w:val="990000"/>
          <w:sz w:val="24"/>
          <w:szCs w:val="24"/>
        </w:rPr>
        <w:t>attivita'</w:t>
      </w:r>
      <w:proofErr w:type="spellEnd"/>
      <w:r>
        <w:rPr>
          <w:color w:val="990000"/>
          <w:sz w:val="24"/>
          <w:szCs w:val="24"/>
        </w:rPr>
        <w:t xml:space="preserve"> in mercati diversi da quelli in c</w:t>
      </w:r>
      <w:r w:rsidR="00BD1829">
        <w:rPr>
          <w:color w:val="990000"/>
          <w:sz w:val="24"/>
          <w:szCs w:val="24"/>
        </w:rPr>
        <w:t xml:space="preserve">ui </w:t>
      </w:r>
      <w:r>
        <w:rPr>
          <w:color w:val="990000"/>
          <w:sz w:val="24"/>
          <w:szCs w:val="24"/>
        </w:rPr>
        <w:t>agiscono ai sensi del medesimo comma 2, operano mediante</w:t>
      </w:r>
      <w:r w:rsidR="00BD1829">
        <w:rPr>
          <w:color w:val="990000"/>
          <w:sz w:val="24"/>
          <w:szCs w:val="24"/>
        </w:rPr>
        <w:t xml:space="preserve"> </w:t>
      </w:r>
      <w:proofErr w:type="spellStart"/>
      <w:r>
        <w:rPr>
          <w:color w:val="990000"/>
          <w:sz w:val="24"/>
          <w:szCs w:val="24"/>
        </w:rPr>
        <w:t>societa'</w:t>
      </w:r>
      <w:proofErr w:type="spellEnd"/>
      <w:r>
        <w:rPr>
          <w:color w:val="990000"/>
          <w:sz w:val="24"/>
          <w:szCs w:val="24"/>
        </w:rPr>
        <w:t xml:space="preserve"> separate. </w:t>
      </w:r>
    </w:p>
    <w:p w14:paraId="5ADBBB7C" w14:textId="2EB51C5E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 2-ter. La costituzione di </w:t>
      </w:r>
      <w:proofErr w:type="spellStart"/>
      <w:r>
        <w:rPr>
          <w:color w:val="990000"/>
          <w:sz w:val="24"/>
          <w:szCs w:val="24"/>
        </w:rPr>
        <w:t>societa'</w:t>
      </w:r>
      <w:proofErr w:type="spellEnd"/>
      <w:r>
        <w:rPr>
          <w:color w:val="990000"/>
          <w:sz w:val="24"/>
          <w:szCs w:val="24"/>
        </w:rPr>
        <w:t xml:space="preserve"> e l'acquisizione di</w:t>
      </w:r>
      <w:r w:rsidR="00BD1829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posizioni di controllo in </w:t>
      </w:r>
      <w:proofErr w:type="spellStart"/>
      <w:r>
        <w:rPr>
          <w:color w:val="990000"/>
          <w:sz w:val="24"/>
          <w:szCs w:val="24"/>
        </w:rPr>
        <w:t>societa'</w:t>
      </w:r>
      <w:proofErr w:type="spellEnd"/>
      <w:r>
        <w:rPr>
          <w:color w:val="990000"/>
          <w:sz w:val="24"/>
          <w:szCs w:val="24"/>
        </w:rPr>
        <w:t xml:space="preserve"> operanti nei mercati</w:t>
      </w:r>
      <w:r w:rsidR="00EF301D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diversi di cui al comma 2-bis sono soggette a preventiva</w:t>
      </w:r>
      <w:r w:rsidR="001F72B5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comunicazione </w:t>
      </w:r>
      <w:proofErr w:type="spellStart"/>
      <w:r>
        <w:rPr>
          <w:color w:val="990000"/>
          <w:sz w:val="24"/>
          <w:szCs w:val="24"/>
        </w:rPr>
        <w:t>all'Autorita'</w:t>
      </w:r>
      <w:proofErr w:type="spellEnd"/>
      <w:r>
        <w:rPr>
          <w:color w:val="990000"/>
          <w:sz w:val="24"/>
          <w:szCs w:val="24"/>
        </w:rPr>
        <w:t xml:space="preserve">. </w:t>
      </w:r>
    </w:p>
    <w:p w14:paraId="3AB45D23" w14:textId="3D184A45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 2-quater. Al fine di garantire pari </w:t>
      </w:r>
      <w:proofErr w:type="spellStart"/>
      <w:r>
        <w:rPr>
          <w:color w:val="990000"/>
          <w:sz w:val="24"/>
          <w:szCs w:val="24"/>
        </w:rPr>
        <w:t>opportunita'</w:t>
      </w:r>
      <w:proofErr w:type="spellEnd"/>
      <w:r>
        <w:rPr>
          <w:color w:val="990000"/>
          <w:sz w:val="24"/>
          <w:szCs w:val="24"/>
        </w:rPr>
        <w:t xml:space="preserve"> di</w:t>
      </w:r>
    </w:p>
    <w:p w14:paraId="3465E06E" w14:textId="62DE02B1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iniziativa economica, qualora le imprese di cui al comma 2</w:t>
      </w:r>
    </w:p>
    <w:p w14:paraId="435FB833" w14:textId="2A142BB8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rendano disponibili a </w:t>
      </w:r>
      <w:proofErr w:type="spellStart"/>
      <w:r>
        <w:rPr>
          <w:color w:val="990000"/>
          <w:sz w:val="24"/>
          <w:szCs w:val="24"/>
        </w:rPr>
        <w:t>societa'</w:t>
      </w:r>
      <w:proofErr w:type="spellEnd"/>
      <w:r>
        <w:rPr>
          <w:color w:val="990000"/>
          <w:sz w:val="24"/>
          <w:szCs w:val="24"/>
        </w:rPr>
        <w:t xml:space="preserve"> da esse partecipate o</w:t>
      </w:r>
    </w:p>
    <w:p w14:paraId="4A2A4701" w14:textId="22B326CD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controllate nei mercati diversi di cui al comma 2-bis beni</w:t>
      </w:r>
    </w:p>
    <w:p w14:paraId="52F2E055" w14:textId="484D2D29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o servizi, anche   informativi, di   cui   abbiano   la</w:t>
      </w:r>
    </w:p>
    <w:p w14:paraId="4A94F718" w14:textId="324BD83B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proofErr w:type="spellStart"/>
      <w:r>
        <w:rPr>
          <w:color w:val="990000"/>
          <w:sz w:val="24"/>
          <w:szCs w:val="24"/>
        </w:rPr>
        <w:t>disponibilita'</w:t>
      </w:r>
      <w:proofErr w:type="spellEnd"/>
      <w:r>
        <w:rPr>
          <w:color w:val="990000"/>
          <w:sz w:val="24"/>
          <w:szCs w:val="24"/>
        </w:rPr>
        <w:t xml:space="preserve"> esclusiva in dipendenza delle </w:t>
      </w:r>
      <w:proofErr w:type="spellStart"/>
      <w:r>
        <w:rPr>
          <w:color w:val="990000"/>
          <w:sz w:val="24"/>
          <w:szCs w:val="24"/>
        </w:rPr>
        <w:t>attivita'</w:t>
      </w:r>
      <w:proofErr w:type="spellEnd"/>
    </w:p>
    <w:p w14:paraId="31982CCC" w14:textId="314A900A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lastRenderedPageBreak/>
        <w:t>svolte ai sensi del medesimo comma 2, esse sono tenute a</w:t>
      </w:r>
      <w:r w:rsidR="00BD1829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rendere accessibili tali beni o servizi, a condizioni</w:t>
      </w:r>
    </w:p>
    <w:p w14:paraId="35FB5E35" w14:textId="04814DEA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equivalenti, alle altre imprese direttamente concorrenti. </w:t>
      </w:r>
    </w:p>
    <w:p w14:paraId="22AB8887" w14:textId="44BD99BB" w:rsidR="00573908" w:rsidRDefault="00573908" w:rsidP="004C1D4D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2-quinquies. Ne</w:t>
      </w:r>
      <w:r w:rsidR="00F060FB">
        <w:rPr>
          <w:color w:val="990000"/>
          <w:sz w:val="24"/>
          <w:szCs w:val="24"/>
        </w:rPr>
        <w:t xml:space="preserve">lla </w:t>
      </w:r>
      <w:r>
        <w:rPr>
          <w:color w:val="990000"/>
          <w:sz w:val="24"/>
          <w:szCs w:val="24"/>
        </w:rPr>
        <w:t xml:space="preserve">comunicazione di cui al comma 2-ter, </w:t>
      </w:r>
      <w:proofErr w:type="spellStart"/>
      <w:r>
        <w:rPr>
          <w:color w:val="990000"/>
          <w:sz w:val="24"/>
          <w:szCs w:val="24"/>
        </w:rPr>
        <w:t>l'Autorita'</w:t>
      </w:r>
      <w:proofErr w:type="spellEnd"/>
      <w:r>
        <w:rPr>
          <w:color w:val="990000"/>
          <w:sz w:val="24"/>
          <w:szCs w:val="24"/>
        </w:rPr>
        <w:t xml:space="preserve"> applica la</w:t>
      </w:r>
      <w:r w:rsidR="00BD1829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sanzione amministrativa pecuniaria  </w:t>
      </w:r>
      <w:r w:rsidR="001F72B5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fino   a   lire   100</w:t>
      </w:r>
      <w:r w:rsidR="00BD1829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milioni.» </w:t>
      </w:r>
    </w:p>
    <w:p w14:paraId="6F346A5A" w14:textId="77777777" w:rsidR="00573908" w:rsidRPr="00573908" w:rsidRDefault="00573908" w:rsidP="00573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53881C5" w14:textId="77777777" w:rsidR="00573908" w:rsidRDefault="00573908"/>
    <w:sectPr w:rsidR="0057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E00"/>
    <w:multiLevelType w:val="hybridMultilevel"/>
    <w:tmpl w:val="08A03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8"/>
    <w:rsid w:val="001F72B5"/>
    <w:rsid w:val="004C1D4D"/>
    <w:rsid w:val="00573908"/>
    <w:rsid w:val="007D41BF"/>
    <w:rsid w:val="008A71FD"/>
    <w:rsid w:val="00BD1829"/>
    <w:rsid w:val="00EF301D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AAE5"/>
  <w15:chartTrackingRefBased/>
  <w15:docId w15:val="{42C6BCD4-2107-4A33-895D-D63C07E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390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7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809E-95C6-489A-8F9A-E91F288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2</cp:revision>
  <dcterms:created xsi:type="dcterms:W3CDTF">2021-07-30T13:41:00Z</dcterms:created>
  <dcterms:modified xsi:type="dcterms:W3CDTF">2021-07-30T13:41:00Z</dcterms:modified>
</cp:coreProperties>
</file>